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89" w:rsidRPr="00260189" w:rsidRDefault="00260189" w:rsidP="00260189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260189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ملف الترشح للاستفادة من الحركية قصيرة المدى بالخارج</w:t>
      </w:r>
    </w:p>
    <w:p w:rsidR="008662AC" w:rsidRPr="00260189" w:rsidRDefault="00A26BF1" w:rsidP="00260189">
      <w:pPr>
        <w:bidi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proofErr w:type="spellStart"/>
      <w:r w:rsidRPr="00260189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تداريب</w:t>
      </w:r>
      <w:proofErr w:type="spellEnd"/>
      <w:r w:rsidRPr="00260189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تحسين المستوى في الخارج</w:t>
      </w:r>
    </w:p>
    <w:p w:rsidR="00A26BF1" w:rsidRPr="00260189" w:rsidRDefault="00A26BF1" w:rsidP="000D6171">
      <w:pPr>
        <w:bidi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r w:rsidRPr="00260189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  <w:t xml:space="preserve">بخصوص الأساتذة الباحثون المساعدون </w:t>
      </w:r>
      <w:proofErr w:type="gramStart"/>
      <w:r w:rsidRPr="00260189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  <w:t xml:space="preserve">و </w:t>
      </w:r>
      <w:r w:rsidR="000D6171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طلبة</w:t>
      </w:r>
      <w:proofErr w:type="gramEnd"/>
      <w:r w:rsidR="000D6171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 الدكتوراه</w:t>
      </w:r>
      <w:r w:rsidRPr="00260189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  <w:t xml:space="preserve"> غير الأجراء:</w:t>
      </w:r>
    </w:p>
    <w:p w:rsidR="00535CE8" w:rsidRPr="00260189" w:rsidRDefault="00460FC5" w:rsidP="008662AC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32"/>
          <w:szCs w:val="32"/>
        </w:rPr>
      </w:pPr>
      <w:r w:rsidRPr="00260189">
        <w:rPr>
          <w:rFonts w:ascii="Arabic Typesetting" w:hAnsi="Arabic Typesetting" w:cs="Arabic Typesetting"/>
          <w:sz w:val="32"/>
          <w:szCs w:val="32"/>
          <w:rtl/>
          <w:lang w:bidi="ar-DZ"/>
        </w:rPr>
        <w:t>تسجي</w:t>
      </w:r>
      <w:r w:rsidR="000D6171">
        <w:rPr>
          <w:rFonts w:ascii="Arabic Typesetting" w:hAnsi="Arabic Typesetting" w:cs="Arabic Typesetting"/>
          <w:sz w:val="32"/>
          <w:szCs w:val="32"/>
          <w:rtl/>
          <w:lang w:bidi="ar-DZ"/>
        </w:rPr>
        <w:t>لا منتظما في الدكتوراه ابتداء</w:t>
      </w:r>
      <w:r w:rsidR="000D6171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  <w:r w:rsidRPr="00260189">
        <w:rPr>
          <w:rFonts w:ascii="Arabic Typesetting" w:hAnsi="Arabic Typesetting" w:cs="Arabic Typesetting"/>
          <w:sz w:val="32"/>
          <w:szCs w:val="32"/>
          <w:rtl/>
          <w:lang w:bidi="ar-DZ"/>
        </w:rPr>
        <w:t>من التسجيل الثاني</w:t>
      </w:r>
    </w:p>
    <w:p w:rsidR="00460FC5" w:rsidRPr="00260189" w:rsidRDefault="00460FC5" w:rsidP="00460FC5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32"/>
          <w:szCs w:val="32"/>
        </w:rPr>
      </w:pPr>
      <w:r w:rsidRPr="00260189">
        <w:rPr>
          <w:rFonts w:ascii="Arabic Typesetting" w:hAnsi="Arabic Typesetting" w:cs="Arabic Typesetting"/>
          <w:sz w:val="32"/>
          <w:szCs w:val="32"/>
          <w:rtl/>
          <w:lang w:bidi="ar-DZ"/>
        </w:rPr>
        <w:t>شهادة عمل و قرار الترسيم بالنسبة للأساتذة الباحثون المساعدون</w:t>
      </w:r>
    </w:p>
    <w:p w:rsidR="008662AC" w:rsidRPr="00491B37" w:rsidRDefault="000D6171" w:rsidP="00491B37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مشروع عمل شامل </w:t>
      </w:r>
      <w:proofErr w:type="gramStart"/>
      <w:r>
        <w:rPr>
          <w:rFonts w:ascii="Arabic Typesetting" w:hAnsi="Arabic Typesetting" w:cs="Arabic Typesetting"/>
          <w:sz w:val="32"/>
          <w:szCs w:val="32"/>
          <w:rtl/>
          <w:lang w:bidi="ar-DZ"/>
        </w:rPr>
        <w:t>و</w:t>
      </w:r>
      <w:r w:rsidR="00460FC5" w:rsidRPr="00260189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مفصل</w:t>
      </w:r>
      <w:proofErr w:type="gramEnd"/>
      <w:r w:rsidR="00460FC5" w:rsidRPr="00260189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تحدد فيه الأهداف</w:t>
      </w:r>
      <w:r w:rsidR="008662AC" w:rsidRPr="00260189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و المنهجية و النتائج المنتظرة</w:t>
      </w:r>
    </w:p>
    <w:p w:rsidR="00A26BF1" w:rsidRPr="00260189" w:rsidRDefault="00A26BF1" w:rsidP="00A26BF1">
      <w:pPr>
        <w:bidi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</w:pPr>
      <w:r w:rsidRPr="00260189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  <w:t xml:space="preserve">بخصوص المستخدمون الاداريون و التقنيون، </w:t>
      </w:r>
      <w:proofErr w:type="spellStart"/>
      <w:r w:rsidRPr="00260189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  <w:t>المرسمون</w:t>
      </w:r>
      <w:proofErr w:type="spellEnd"/>
      <w:r w:rsidRPr="00260189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  <w:t xml:space="preserve"> و الحائزون على شهادة جامعية على الأقل و هم المصنفون  في الصنف 10 أو أكثر:</w:t>
      </w:r>
    </w:p>
    <w:p w:rsidR="00A26BF1" w:rsidRPr="00260189" w:rsidRDefault="00A26BF1" w:rsidP="00A26BF1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sz w:val="32"/>
          <w:szCs w:val="32"/>
        </w:rPr>
      </w:pPr>
      <w:r w:rsidRPr="00260189">
        <w:rPr>
          <w:rFonts w:ascii="Arabic Typesetting" w:hAnsi="Arabic Typesetting" w:cs="Arabic Typesetting"/>
          <w:sz w:val="32"/>
          <w:szCs w:val="32"/>
          <w:rtl/>
        </w:rPr>
        <w:t>شهادة عمل و قرار الترسيم</w:t>
      </w:r>
    </w:p>
    <w:p w:rsidR="00A26BF1" w:rsidRPr="00260189" w:rsidRDefault="00A26BF1" w:rsidP="00A26BF1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sz w:val="32"/>
          <w:szCs w:val="32"/>
        </w:rPr>
      </w:pPr>
      <w:r w:rsidRPr="00260189">
        <w:rPr>
          <w:rFonts w:ascii="Arabic Typesetting" w:hAnsi="Arabic Typesetting" w:cs="Arabic Typesetting"/>
          <w:sz w:val="32"/>
          <w:szCs w:val="32"/>
          <w:rtl/>
        </w:rPr>
        <w:t>اثبات الحصول على شهادة جامعية</w:t>
      </w:r>
    </w:p>
    <w:p w:rsidR="00A26BF1" w:rsidRPr="00260189" w:rsidRDefault="000D6171" w:rsidP="000D6171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  <w:rtl/>
          <w:lang w:bidi="ar-DZ"/>
        </w:rPr>
        <w:t>مشروع عمل شامل ومفصل تحدد فيه الأهداف والمنهجية و</w:t>
      </w:r>
      <w:r w:rsidR="0067525E" w:rsidRPr="00260189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النتائج المنتظرة مصادق عليه من طرف مدير 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الجامعة</w:t>
      </w:r>
      <w:bookmarkStart w:id="0" w:name="_GoBack"/>
      <w:bookmarkEnd w:id="0"/>
    </w:p>
    <w:p w:rsidR="0067525E" w:rsidRPr="00260189" w:rsidRDefault="0067525E" w:rsidP="0067525E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sz w:val="32"/>
          <w:szCs w:val="32"/>
        </w:rPr>
      </w:pPr>
      <w:r w:rsidRPr="00260189">
        <w:rPr>
          <w:rFonts w:ascii="Arabic Typesetting" w:hAnsi="Arabic Typesetting" w:cs="Arabic Typesetting"/>
          <w:sz w:val="32"/>
          <w:szCs w:val="32"/>
          <w:rtl/>
          <w:lang w:bidi="ar-DZ"/>
        </w:rPr>
        <w:t>تحديد الهيئة المستقبلة</w:t>
      </w:r>
    </w:p>
    <w:p w:rsidR="0067525E" w:rsidRPr="00260189" w:rsidRDefault="0067525E" w:rsidP="0067525E">
      <w:pPr>
        <w:pStyle w:val="Paragraphedeliste"/>
        <w:bidi/>
        <w:ind w:hanging="720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260189">
        <w:rPr>
          <w:rFonts w:ascii="Arabic Typesetting" w:hAnsi="Arabic Typesetting" w:cs="Arabic Typesetting"/>
          <w:b/>
          <w:bCs/>
          <w:sz w:val="36"/>
          <w:szCs w:val="36"/>
          <w:rtl/>
        </w:rPr>
        <w:t>الاقامة العلمية قصيرة المدى ذات مستوى عال</w:t>
      </w:r>
    </w:p>
    <w:p w:rsidR="0067525E" w:rsidRPr="002D7FD3" w:rsidRDefault="002D7FD3" w:rsidP="0067525E">
      <w:pPr>
        <w:pStyle w:val="Paragraphedeliste"/>
        <w:bidi/>
        <w:ind w:hanging="720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</w:pPr>
      <w:r w:rsidRPr="002D7FD3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تخص </w:t>
      </w:r>
      <w:r w:rsidR="0067525E" w:rsidRPr="002D7FD3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  <w:t>أساتذة التعليم العالي، الأساتذة المحضرون قسم أ، الأساتذة المحاضرون قسم ب</w:t>
      </w:r>
    </w:p>
    <w:p w:rsidR="0067525E" w:rsidRPr="00260189" w:rsidRDefault="0067525E" w:rsidP="0067525E">
      <w:pPr>
        <w:pStyle w:val="Paragraphedeliste"/>
        <w:numPr>
          <w:ilvl w:val="0"/>
          <w:numId w:val="3"/>
        </w:numPr>
        <w:bidi/>
        <w:rPr>
          <w:rFonts w:ascii="Arabic Typesetting" w:hAnsi="Arabic Typesetting" w:cs="Arabic Typesetting"/>
          <w:sz w:val="32"/>
          <w:szCs w:val="32"/>
        </w:rPr>
      </w:pPr>
      <w:r w:rsidRPr="00260189">
        <w:rPr>
          <w:rFonts w:ascii="Arabic Typesetting" w:hAnsi="Arabic Typesetting" w:cs="Arabic Typesetting"/>
          <w:sz w:val="32"/>
          <w:szCs w:val="32"/>
          <w:rtl/>
          <w:lang w:bidi="ar-DZ"/>
        </w:rPr>
        <w:t>شهادة عمل و قرار الترسيم</w:t>
      </w:r>
    </w:p>
    <w:p w:rsidR="002329CA" w:rsidRPr="00260189" w:rsidRDefault="002329CA" w:rsidP="002329CA">
      <w:pPr>
        <w:pStyle w:val="Paragraphedeliste"/>
        <w:numPr>
          <w:ilvl w:val="0"/>
          <w:numId w:val="3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260189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مشروع عمل شامل ومفصل تحدد فيه الأهداف </w:t>
      </w:r>
      <w:proofErr w:type="gramStart"/>
      <w:r w:rsidRPr="00260189">
        <w:rPr>
          <w:rFonts w:ascii="Arabic Typesetting" w:hAnsi="Arabic Typesetting" w:cs="Arabic Typesetting"/>
          <w:sz w:val="32"/>
          <w:szCs w:val="32"/>
          <w:rtl/>
          <w:lang w:bidi="ar-DZ"/>
        </w:rPr>
        <w:t>و المنهجية</w:t>
      </w:r>
      <w:proofErr w:type="gramEnd"/>
      <w:r w:rsidRPr="00260189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و النتائج المنتظرة</w:t>
      </w:r>
    </w:p>
    <w:p w:rsidR="0067525E" w:rsidRPr="00260189" w:rsidRDefault="002329CA" w:rsidP="0067525E">
      <w:pPr>
        <w:pStyle w:val="Paragraphedeliste"/>
        <w:bidi/>
        <w:ind w:hanging="720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26018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التظاهرات العلمية الدولية </w:t>
      </w:r>
      <w:r w:rsidR="00AD3DB2" w:rsidRPr="0026018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المصنفة </w:t>
      </w:r>
      <w:proofErr w:type="gramStart"/>
      <w:r w:rsidR="00AD3DB2" w:rsidRPr="0026018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و</w:t>
      </w:r>
      <w:r w:rsidRPr="0026018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المفهرسة</w:t>
      </w:r>
      <w:proofErr w:type="gramEnd"/>
      <w:r w:rsidRPr="0026018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في قواعد البيانات الدولية</w:t>
      </w:r>
    </w:p>
    <w:p w:rsidR="002329CA" w:rsidRPr="00260189" w:rsidRDefault="002329CA" w:rsidP="002329CA">
      <w:pPr>
        <w:pStyle w:val="Paragraphedeliste"/>
        <w:numPr>
          <w:ilvl w:val="0"/>
          <w:numId w:val="4"/>
        </w:numPr>
        <w:bidi/>
        <w:rPr>
          <w:rFonts w:ascii="Arabic Typesetting" w:hAnsi="Arabic Typesetting" w:cs="Arabic Typesetting"/>
          <w:sz w:val="32"/>
          <w:szCs w:val="32"/>
        </w:rPr>
      </w:pPr>
      <w:r w:rsidRPr="00260189">
        <w:rPr>
          <w:rFonts w:ascii="Arabic Typesetting" w:hAnsi="Arabic Typesetting" w:cs="Arabic Typesetting"/>
          <w:sz w:val="32"/>
          <w:szCs w:val="32"/>
          <w:rtl/>
        </w:rPr>
        <w:t>طلب المشاركة في التظاهرة العلمية الدولية</w:t>
      </w:r>
    </w:p>
    <w:p w:rsidR="002329CA" w:rsidRPr="00260189" w:rsidRDefault="002329CA" w:rsidP="002329CA">
      <w:pPr>
        <w:pStyle w:val="Paragraphedeliste"/>
        <w:numPr>
          <w:ilvl w:val="0"/>
          <w:numId w:val="4"/>
        </w:numPr>
        <w:bidi/>
        <w:rPr>
          <w:rFonts w:ascii="Arabic Typesetting" w:hAnsi="Arabic Typesetting" w:cs="Arabic Typesetting"/>
          <w:sz w:val="32"/>
          <w:szCs w:val="32"/>
        </w:rPr>
      </w:pPr>
      <w:r w:rsidRPr="00260189">
        <w:rPr>
          <w:rFonts w:ascii="Arabic Typesetting" w:hAnsi="Arabic Typesetting" w:cs="Arabic Typesetting"/>
          <w:sz w:val="32"/>
          <w:szCs w:val="32"/>
          <w:rtl/>
        </w:rPr>
        <w:t>دعوة قبول من طرف منظمي التظاهرة العلمية الدولية</w:t>
      </w:r>
    </w:p>
    <w:p w:rsidR="002329CA" w:rsidRPr="00260189" w:rsidRDefault="002329CA" w:rsidP="002329CA">
      <w:pPr>
        <w:pStyle w:val="Paragraphedeliste"/>
        <w:numPr>
          <w:ilvl w:val="0"/>
          <w:numId w:val="4"/>
        </w:numPr>
        <w:bidi/>
        <w:rPr>
          <w:rFonts w:ascii="Arabic Typesetting" w:hAnsi="Arabic Typesetting" w:cs="Arabic Typesetting"/>
          <w:sz w:val="32"/>
          <w:szCs w:val="32"/>
        </w:rPr>
      </w:pPr>
      <w:r w:rsidRPr="00260189">
        <w:rPr>
          <w:rFonts w:ascii="Arabic Typesetting" w:hAnsi="Arabic Typesetting" w:cs="Arabic Typesetting"/>
          <w:sz w:val="32"/>
          <w:szCs w:val="32"/>
          <w:rtl/>
        </w:rPr>
        <w:t>برنامج التظاهرة العلمية الدولية</w:t>
      </w:r>
    </w:p>
    <w:p w:rsidR="002329CA" w:rsidRPr="00260189" w:rsidRDefault="002329CA" w:rsidP="002329CA">
      <w:pPr>
        <w:pStyle w:val="Paragraphedeliste"/>
        <w:numPr>
          <w:ilvl w:val="0"/>
          <w:numId w:val="4"/>
        </w:numPr>
        <w:bidi/>
        <w:rPr>
          <w:rFonts w:ascii="Arabic Typesetting" w:hAnsi="Arabic Typesetting" w:cs="Arabic Typesetting"/>
          <w:sz w:val="32"/>
          <w:szCs w:val="32"/>
        </w:rPr>
      </w:pPr>
      <w:r w:rsidRPr="00260189">
        <w:rPr>
          <w:rFonts w:ascii="Arabic Typesetting" w:hAnsi="Arabic Typesetting" w:cs="Arabic Typesetting"/>
          <w:sz w:val="32"/>
          <w:szCs w:val="32"/>
          <w:rtl/>
        </w:rPr>
        <w:t>نسخة من المداخلة تشمل مؤسسة الانتساب أو مخبر البحث</w:t>
      </w:r>
    </w:p>
    <w:p w:rsidR="00260189" w:rsidRPr="00260189" w:rsidRDefault="00260189" w:rsidP="00260189">
      <w:pPr>
        <w:pStyle w:val="Paragraphedeliste"/>
        <w:numPr>
          <w:ilvl w:val="0"/>
          <w:numId w:val="4"/>
        </w:numPr>
        <w:bidi/>
        <w:rPr>
          <w:rFonts w:ascii="Arabic Typesetting" w:hAnsi="Arabic Typesetting" w:cs="Arabic Typesetting"/>
          <w:sz w:val="32"/>
          <w:szCs w:val="32"/>
        </w:rPr>
      </w:pPr>
      <w:r w:rsidRPr="00260189">
        <w:rPr>
          <w:rFonts w:ascii="Arabic Typesetting" w:hAnsi="Arabic Typesetting" w:cs="Arabic Typesetting"/>
          <w:sz w:val="32"/>
          <w:szCs w:val="32"/>
          <w:rtl/>
        </w:rPr>
        <w:t>شهادة عمل و قرار الترسيم</w:t>
      </w:r>
    </w:p>
    <w:p w:rsidR="00260189" w:rsidRDefault="00260189" w:rsidP="00260189">
      <w:pPr>
        <w:pStyle w:val="Paragraphedeliste"/>
        <w:numPr>
          <w:ilvl w:val="0"/>
          <w:numId w:val="4"/>
        </w:numPr>
        <w:bidi/>
        <w:rPr>
          <w:rFonts w:ascii="Arabic Typesetting" w:hAnsi="Arabic Typesetting" w:cs="Arabic Typesetting"/>
          <w:sz w:val="32"/>
          <w:szCs w:val="32"/>
        </w:rPr>
      </w:pPr>
      <w:r w:rsidRPr="00260189">
        <w:rPr>
          <w:rFonts w:ascii="Arabic Typesetting" w:hAnsi="Arabic Typesetting" w:cs="Arabic Typesetting"/>
          <w:sz w:val="32"/>
          <w:szCs w:val="32"/>
          <w:rtl/>
          <w:lang w:bidi="ar-DZ"/>
        </w:rPr>
        <w:t>تسج</w:t>
      </w:r>
      <w:r w:rsidR="00593D40">
        <w:rPr>
          <w:rFonts w:ascii="Arabic Typesetting" w:hAnsi="Arabic Typesetting" w:cs="Arabic Typesetting"/>
          <w:sz w:val="32"/>
          <w:szCs w:val="32"/>
          <w:rtl/>
          <w:lang w:bidi="ar-DZ"/>
        </w:rPr>
        <w:t>يلا منتظما  في الدكتوراه ابتداء</w:t>
      </w:r>
      <w:r w:rsidRPr="00260189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من التسجيل الثاني بالنسبة لطلبة الدكتوراه و الاساتذة  الباحثون المساعدون</w:t>
      </w:r>
    </w:p>
    <w:p w:rsidR="00435587" w:rsidRPr="00435587" w:rsidRDefault="00435587" w:rsidP="00491B37">
      <w:pPr>
        <w:pStyle w:val="Paragraphedeliste"/>
        <w:bidi/>
        <w:ind w:hanging="721"/>
        <w:rPr>
          <w:rFonts w:ascii="Arabic Typesetting" w:hAnsi="Arabic Typesetting" w:cs="Arabic Typesetting"/>
          <w:sz w:val="32"/>
          <w:szCs w:val="32"/>
        </w:rPr>
      </w:pPr>
      <w:r w:rsidRPr="00C175BE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ملاحظة:</w:t>
      </w:r>
      <w:r w:rsidR="00C175BE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 يجب ارفاق ملف الترشح ب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الوثائق الثبوتية </w:t>
      </w:r>
      <w:r w:rsidR="00C175BE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الخاصة بمعايير الترتيب 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من مقال</w:t>
      </w:r>
      <w:r w:rsidR="00C175BE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ات و مداخلات،.... لجميع الفئات</w:t>
      </w:r>
    </w:p>
    <w:sectPr w:rsidR="00435587" w:rsidRPr="00435587" w:rsidSect="00435587">
      <w:headerReference w:type="default" r:id="rId7"/>
      <w:pgSz w:w="11906" w:h="16838"/>
      <w:pgMar w:top="1417" w:right="141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C6D" w:rsidRDefault="00B64C6D" w:rsidP="00260189">
      <w:pPr>
        <w:spacing w:after="0" w:line="240" w:lineRule="auto"/>
      </w:pPr>
      <w:r>
        <w:separator/>
      </w:r>
    </w:p>
  </w:endnote>
  <w:endnote w:type="continuationSeparator" w:id="0">
    <w:p w:rsidR="00B64C6D" w:rsidRDefault="00B64C6D" w:rsidP="0026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ultan norm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C6D" w:rsidRDefault="00B64C6D" w:rsidP="00260189">
      <w:pPr>
        <w:spacing w:after="0" w:line="240" w:lineRule="auto"/>
      </w:pPr>
      <w:r>
        <w:separator/>
      </w:r>
    </w:p>
  </w:footnote>
  <w:footnote w:type="continuationSeparator" w:id="0">
    <w:p w:rsidR="00B64C6D" w:rsidRDefault="00B64C6D" w:rsidP="0026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pPr w:leftFromText="141" w:rightFromText="141" w:horzAnchor="margin" w:tblpXSpec="center" w:tblpY="-1005"/>
      <w:tblW w:w="1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2430"/>
      <w:gridCol w:w="4593"/>
    </w:tblGrid>
    <w:tr w:rsidR="000D6171" w:rsidRPr="00CD536C" w:rsidTr="00405DD9">
      <w:trPr>
        <w:trHeight w:val="1155"/>
      </w:trPr>
      <w:tc>
        <w:tcPr>
          <w:tcW w:w="11134" w:type="dxa"/>
          <w:gridSpan w:val="3"/>
        </w:tcPr>
        <w:p w:rsidR="000D6171" w:rsidRDefault="000D6171" w:rsidP="000D6171">
          <w:pPr>
            <w:bidi/>
            <w:jc w:val="center"/>
            <w:outlineLvl w:val="0"/>
            <w:rPr>
              <w:rFonts w:ascii="Arabic Typesetting" w:hAnsi="Arabic Typesetting" w:cs="Arabic Typesetting"/>
              <w:sz w:val="40"/>
              <w:szCs w:val="40"/>
              <w:rtl/>
              <w:lang w:val="en-US" w:bidi="ar-DZ"/>
            </w:rPr>
          </w:pPr>
        </w:p>
        <w:p w:rsidR="000D6171" w:rsidRPr="003D35A0" w:rsidRDefault="000D6171" w:rsidP="000D6171">
          <w:pPr>
            <w:bidi/>
            <w:jc w:val="center"/>
            <w:outlineLvl w:val="0"/>
            <w:rPr>
              <w:rFonts w:ascii="Arabic Typesetting" w:hAnsi="Arabic Typesetting" w:cs="Arabic Typesetting"/>
              <w:sz w:val="40"/>
              <w:szCs w:val="40"/>
              <w:rtl/>
              <w:lang w:val="en-US" w:bidi="ar-DZ"/>
            </w:rPr>
          </w:pPr>
          <w:r w:rsidRPr="003D35A0">
            <w:rPr>
              <w:rFonts w:ascii="Arabic Typesetting" w:hAnsi="Arabic Typesetting" w:cs="Arabic Typesetting"/>
              <w:sz w:val="40"/>
              <w:szCs w:val="40"/>
              <w:rtl/>
              <w:lang w:val="en-US" w:bidi="ar-DZ"/>
            </w:rPr>
            <w:t>الجمهوريـــة الجزائريـة الديمقراطيـة الشعبيــة</w:t>
          </w:r>
        </w:p>
        <w:p w:rsidR="000D6171" w:rsidRPr="00CD536C" w:rsidRDefault="000D6171" w:rsidP="000D6171">
          <w:pPr>
            <w:jc w:val="center"/>
            <w:outlineLvl w:val="0"/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</w:pPr>
          <w:r w:rsidRPr="00CC6777">
            <w:rPr>
              <w:rFonts w:asciiTheme="majorBidi" w:hAnsiTheme="majorBidi" w:cstheme="majorBidi"/>
              <w:sz w:val="24"/>
              <w:szCs w:val="24"/>
              <w:lang w:bidi="ar-DZ"/>
            </w:rPr>
            <w:t>République</w:t>
          </w:r>
          <w:r>
            <w:rPr>
              <w:rFonts w:asciiTheme="majorBidi" w:hAnsiTheme="majorBidi" w:cstheme="majorBidi" w:hint="cs"/>
              <w:sz w:val="24"/>
              <w:szCs w:val="24"/>
              <w:rtl/>
              <w:lang w:val="en-US" w:bidi="ar-DZ"/>
            </w:rPr>
            <w:t xml:space="preserve"> </w:t>
          </w:r>
          <w:r w:rsidRPr="00CC6777">
            <w:rPr>
              <w:rFonts w:asciiTheme="majorBidi" w:hAnsiTheme="majorBidi" w:cstheme="majorBidi"/>
              <w:sz w:val="24"/>
              <w:szCs w:val="24"/>
              <w:lang w:bidi="ar-DZ"/>
            </w:rPr>
            <w:t>Algérienne</w:t>
          </w:r>
          <w:r>
            <w:rPr>
              <w:rFonts w:asciiTheme="majorBidi" w:hAnsiTheme="majorBidi" w:cstheme="majorBidi" w:hint="cs"/>
              <w:sz w:val="24"/>
              <w:szCs w:val="24"/>
              <w:rtl/>
              <w:lang w:val="en-US" w:bidi="ar-DZ"/>
            </w:rPr>
            <w:t xml:space="preserve"> </w:t>
          </w:r>
          <w:r w:rsidRPr="00CC6777">
            <w:rPr>
              <w:rFonts w:asciiTheme="majorBidi" w:hAnsiTheme="majorBidi" w:cstheme="majorBidi"/>
              <w:sz w:val="24"/>
              <w:szCs w:val="24"/>
              <w:lang w:bidi="ar-DZ"/>
            </w:rPr>
            <w:t>Démocratique et Populaire</w:t>
          </w:r>
        </w:p>
        <w:p w:rsidR="000D6171" w:rsidRPr="003D35A0" w:rsidRDefault="000D6171" w:rsidP="000D6171">
          <w:pPr>
            <w:bidi/>
            <w:jc w:val="center"/>
            <w:outlineLvl w:val="0"/>
            <w:rPr>
              <w:rFonts w:ascii="Arabic Typesetting" w:hAnsi="Arabic Typesetting" w:cs="Arabic Typesetting"/>
              <w:sz w:val="40"/>
              <w:szCs w:val="40"/>
              <w:rtl/>
              <w:lang w:val="en-US" w:bidi="ar-DZ"/>
            </w:rPr>
          </w:pPr>
          <w:r w:rsidRPr="003D35A0">
            <w:rPr>
              <w:rFonts w:ascii="Arabic Typesetting" w:hAnsi="Arabic Typesetting" w:cs="Arabic Typesetting" w:hint="cs"/>
              <w:sz w:val="40"/>
              <w:szCs w:val="40"/>
              <w:rtl/>
              <w:lang w:val="en-US" w:bidi="ar-DZ"/>
            </w:rPr>
            <w:t>وزارة التعليــــــــم العالــــــــي والبحـــــث العلمــــــــي</w:t>
          </w:r>
        </w:p>
        <w:p w:rsidR="000D6171" w:rsidRPr="000D6171" w:rsidRDefault="000D6171" w:rsidP="000D6171">
          <w:pPr>
            <w:jc w:val="center"/>
            <w:outlineLvl w:val="0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0D6171">
            <w:rPr>
              <w:rFonts w:asciiTheme="majorBidi" w:hAnsiTheme="majorBidi" w:cstheme="majorBidi"/>
              <w:sz w:val="24"/>
              <w:szCs w:val="24"/>
              <w:lang w:bidi="ar-DZ"/>
            </w:rPr>
            <w:t>Ministère de l’Enseignement Supérieur</w:t>
          </w:r>
          <w:r w:rsidRPr="00DF27A0">
            <w:rPr>
              <w:rFonts w:asciiTheme="majorBidi" w:hAnsiTheme="majorBidi" w:cstheme="majorBidi" w:hint="cs"/>
              <w:sz w:val="24"/>
              <w:szCs w:val="24"/>
              <w:rtl/>
              <w:lang w:val="en-US" w:bidi="ar-DZ"/>
            </w:rPr>
            <w:t xml:space="preserve"> </w:t>
          </w:r>
          <w:r w:rsidRPr="000D6171">
            <w:rPr>
              <w:rFonts w:asciiTheme="majorBidi" w:hAnsiTheme="majorBidi" w:cstheme="majorBidi"/>
              <w:sz w:val="24"/>
              <w:szCs w:val="24"/>
              <w:lang w:bidi="ar-DZ"/>
            </w:rPr>
            <w:t>et de la Recherche Scientifique</w:t>
          </w:r>
        </w:p>
        <w:p w:rsidR="000D6171" w:rsidRPr="00CD536C" w:rsidRDefault="000D6171" w:rsidP="000D6171">
          <w:pPr>
            <w:jc w:val="right"/>
            <w:outlineLvl w:val="0"/>
            <w:rPr>
              <w:rFonts w:asciiTheme="majorBidi" w:hAnsiTheme="majorBidi" w:cstheme="majorBidi"/>
              <w:sz w:val="8"/>
              <w:szCs w:val="8"/>
            </w:rPr>
          </w:pPr>
        </w:p>
      </w:tc>
    </w:tr>
    <w:tr w:rsidR="000D6171" w:rsidRPr="003D35A0" w:rsidTr="00405DD9">
      <w:trPr>
        <w:trHeight w:val="1656"/>
      </w:trPr>
      <w:tc>
        <w:tcPr>
          <w:tcW w:w="4111" w:type="dxa"/>
        </w:tcPr>
        <w:p w:rsidR="000D6171" w:rsidRPr="003F2B59" w:rsidRDefault="000D6171" w:rsidP="000D6171">
          <w:pPr>
            <w:ind w:right="-250"/>
            <w:rPr>
              <w:rFonts w:asciiTheme="majorBidi" w:hAnsiTheme="majorBidi" w:cstheme="majorBidi"/>
              <w:sz w:val="20"/>
              <w:szCs w:val="20"/>
              <w:rtl/>
            </w:rPr>
          </w:pPr>
        </w:p>
        <w:p w:rsidR="000D6171" w:rsidRPr="00E030FC" w:rsidRDefault="000D6171" w:rsidP="000D6171">
          <w:pPr>
            <w:ind w:right="-250"/>
            <w:rPr>
              <w:rFonts w:asciiTheme="majorBidi" w:hAnsiTheme="majorBidi" w:cstheme="majorBidi"/>
              <w:sz w:val="26"/>
              <w:szCs w:val="26"/>
            </w:rPr>
          </w:pPr>
          <w:r>
            <w:rPr>
              <w:rFonts w:asciiTheme="majorBidi" w:hAnsiTheme="majorBidi" w:cstheme="majorBidi"/>
              <w:sz w:val="26"/>
              <w:szCs w:val="26"/>
            </w:rPr>
            <w:t xml:space="preserve">         Université de Tipaza</w:t>
          </w:r>
        </w:p>
        <w:p w:rsidR="000D6171" w:rsidRDefault="000D6171" w:rsidP="000D6171">
          <w:pPr>
            <w:tabs>
              <w:tab w:val="left" w:pos="284"/>
              <w:tab w:val="left" w:pos="426"/>
            </w:tabs>
            <w:rPr>
              <w:rFonts w:ascii="Times New Roman" w:hAnsi="Times New Roman" w:cs="Times New Roman"/>
              <w:b/>
              <w:bCs/>
            </w:rPr>
          </w:pPr>
        </w:p>
        <w:p w:rsidR="000D6171" w:rsidRPr="003D35A0" w:rsidRDefault="000D6171" w:rsidP="000D6171">
          <w:pPr>
            <w:jc w:val="center"/>
            <w:outlineLvl w:val="0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3D35A0">
            <w:rPr>
              <w:rFonts w:asciiTheme="majorBidi" w:hAnsiTheme="majorBidi" w:cstheme="majorBidi"/>
              <w:sz w:val="24"/>
              <w:szCs w:val="24"/>
              <w:lang w:bidi="ar-DZ"/>
            </w:rPr>
            <w:t>Direction de la post graduation, la recherche scientifique et des relations extérieurs</w:t>
          </w:r>
        </w:p>
        <w:p w:rsidR="000D6171" w:rsidRDefault="000D6171" w:rsidP="000D6171">
          <w:pPr>
            <w:tabs>
              <w:tab w:val="left" w:pos="284"/>
              <w:tab w:val="left" w:pos="426"/>
            </w:tabs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:rsidR="000D6171" w:rsidRPr="00CD536C" w:rsidRDefault="000D6171" w:rsidP="000D6171">
          <w:pPr>
            <w:tabs>
              <w:tab w:val="left" w:pos="284"/>
              <w:tab w:val="left" w:pos="426"/>
            </w:tabs>
            <w:rPr>
              <w:rFonts w:asciiTheme="majorBidi" w:hAnsiTheme="majorBidi" w:cstheme="majorBidi"/>
              <w:sz w:val="26"/>
              <w:szCs w:val="26"/>
            </w:rPr>
          </w:pPr>
        </w:p>
      </w:tc>
      <w:tc>
        <w:tcPr>
          <w:tcW w:w="2430" w:type="dxa"/>
        </w:tcPr>
        <w:p w:rsidR="000D6171" w:rsidRPr="00CD536C" w:rsidRDefault="000D6171" w:rsidP="000D6171">
          <w:pPr>
            <w:rPr>
              <w:rFonts w:asciiTheme="majorBidi" w:hAnsiTheme="majorBidi" w:cstheme="majorBidi"/>
              <w:sz w:val="10"/>
              <w:szCs w:val="10"/>
            </w:rPr>
          </w:pPr>
        </w:p>
        <w:p w:rsidR="000D6171" w:rsidRPr="00CD536C" w:rsidRDefault="000D6171" w:rsidP="000D6171">
          <w:pPr>
            <w:rPr>
              <w:rFonts w:asciiTheme="majorBidi" w:hAnsiTheme="majorBidi" w:cstheme="majorBidi"/>
              <w:sz w:val="32"/>
              <w:szCs w:val="32"/>
            </w:rPr>
          </w:pPr>
          <w:r w:rsidRPr="00DF27A0">
            <w:rPr>
              <w:rFonts w:asciiTheme="majorBidi" w:hAnsiTheme="majorBidi" w:cstheme="majorBidi"/>
              <w:noProof/>
              <w:sz w:val="32"/>
              <w:szCs w:val="32"/>
              <w:lang w:val="en-US"/>
            </w:rPr>
            <w:drawing>
              <wp:inline distT="0" distB="0" distL="0" distR="0" wp14:anchorId="0A9A6839" wp14:editId="609D06A1">
                <wp:extent cx="1405890" cy="923925"/>
                <wp:effectExtent l="0" t="0" r="3810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5890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</w:tcPr>
        <w:p w:rsidR="000D6171" w:rsidRPr="003D35A0" w:rsidRDefault="000D6171" w:rsidP="000D6171">
          <w:pPr>
            <w:bidi/>
            <w:outlineLvl w:val="0"/>
            <w:rPr>
              <w:rFonts w:ascii="Arabic Typesetting" w:hAnsi="Arabic Typesetting" w:cs="Arabic Typesetting"/>
              <w:sz w:val="40"/>
              <w:szCs w:val="40"/>
              <w:lang w:val="en-US" w:bidi="ar-DZ"/>
            </w:rPr>
          </w:pPr>
          <w:r>
            <w:rPr>
              <w:rFonts w:cs="Sultan normal"/>
              <w:sz w:val="20"/>
              <w:szCs w:val="20"/>
              <w:lang w:bidi="ar-DZ"/>
            </w:rPr>
            <w:t xml:space="preserve">                                   </w:t>
          </w:r>
          <w:r w:rsidRPr="003D35A0">
            <w:rPr>
              <w:rFonts w:ascii="Arabic Typesetting" w:hAnsi="Arabic Typesetting" w:cs="Arabic Typesetting" w:hint="cs"/>
              <w:sz w:val="40"/>
              <w:szCs w:val="40"/>
              <w:rtl/>
              <w:lang w:val="en-US" w:bidi="ar-DZ"/>
            </w:rPr>
            <w:t xml:space="preserve">جامعة تيبــــازة </w:t>
          </w:r>
        </w:p>
        <w:p w:rsidR="000D6171" w:rsidRPr="000D6171" w:rsidRDefault="000D6171" w:rsidP="000D6171">
          <w:pPr>
            <w:bidi/>
            <w:jc w:val="center"/>
            <w:outlineLvl w:val="0"/>
            <w:rPr>
              <w:rFonts w:ascii="Arabic Typesetting" w:hAnsi="Arabic Typesetting" w:cs="Arabic Typesetting"/>
              <w:sz w:val="40"/>
              <w:szCs w:val="40"/>
              <w:lang w:val="en-US" w:bidi="ar-DZ"/>
            </w:rPr>
          </w:pPr>
          <w:r w:rsidRPr="003D35A0">
            <w:rPr>
              <w:rFonts w:ascii="Arabic Typesetting" w:hAnsi="Arabic Typesetting" w:cs="Arabic Typesetting" w:hint="cs"/>
              <w:sz w:val="40"/>
              <w:szCs w:val="40"/>
              <w:rtl/>
              <w:lang w:val="en-US" w:bidi="ar-DZ"/>
            </w:rPr>
            <w:t xml:space="preserve">مديرية </w:t>
          </w:r>
          <w:r>
            <w:rPr>
              <w:rFonts w:ascii="Arabic Typesetting" w:hAnsi="Arabic Typesetting" w:cs="Arabic Typesetting" w:hint="cs"/>
              <w:sz w:val="40"/>
              <w:szCs w:val="40"/>
              <w:rtl/>
              <w:lang w:val="en-US" w:bidi="ar-DZ"/>
            </w:rPr>
            <w:t>ما</w:t>
          </w:r>
          <w:r w:rsidRPr="003D35A0">
            <w:rPr>
              <w:rFonts w:ascii="Arabic Typesetting" w:hAnsi="Arabic Typesetting" w:cs="Arabic Typesetting" w:hint="cs"/>
              <w:sz w:val="40"/>
              <w:szCs w:val="40"/>
              <w:rtl/>
              <w:lang w:val="en-US" w:bidi="ar-DZ"/>
            </w:rPr>
            <w:t xml:space="preserve"> بعد التدرج، البحث العلمي</w:t>
          </w:r>
          <w:r>
            <w:rPr>
              <w:rFonts w:ascii="Arabic Typesetting" w:hAnsi="Arabic Typesetting" w:cs="Arabic Typesetting" w:hint="cs"/>
              <w:sz w:val="40"/>
              <w:szCs w:val="40"/>
              <w:rtl/>
              <w:lang w:val="en-US" w:bidi="ar-DZ"/>
            </w:rPr>
            <w:t xml:space="preserve"> </w:t>
          </w:r>
          <w:r w:rsidRPr="003D35A0">
            <w:rPr>
              <w:rFonts w:ascii="Arabic Typesetting" w:hAnsi="Arabic Typesetting" w:cs="Arabic Typesetting" w:hint="cs"/>
              <w:sz w:val="40"/>
              <w:szCs w:val="40"/>
              <w:rtl/>
              <w:lang w:val="en-US" w:bidi="ar-DZ"/>
            </w:rPr>
            <w:t>والعلاقات الخارجية</w:t>
          </w:r>
        </w:p>
      </w:tc>
    </w:tr>
  </w:tbl>
  <w:p w:rsidR="00260189" w:rsidRPr="00ED3B28" w:rsidRDefault="00260189" w:rsidP="00260189">
    <w:pPr>
      <w:pStyle w:val="En-tte"/>
    </w:pPr>
  </w:p>
  <w:p w:rsidR="00260189" w:rsidRDefault="00260189" w:rsidP="00260189">
    <w:pPr>
      <w:pStyle w:val="En-tte"/>
    </w:pPr>
  </w:p>
  <w:p w:rsidR="00260189" w:rsidRDefault="0026018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12A1B"/>
    <w:multiLevelType w:val="hybridMultilevel"/>
    <w:tmpl w:val="5AA27D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20749"/>
    <w:multiLevelType w:val="hybridMultilevel"/>
    <w:tmpl w:val="0B8E91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97F92"/>
    <w:multiLevelType w:val="hybridMultilevel"/>
    <w:tmpl w:val="39F012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648F3"/>
    <w:multiLevelType w:val="hybridMultilevel"/>
    <w:tmpl w:val="DF7C43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C5"/>
    <w:rsid w:val="000D6171"/>
    <w:rsid w:val="002329CA"/>
    <w:rsid w:val="00260189"/>
    <w:rsid w:val="002D7FD3"/>
    <w:rsid w:val="00435587"/>
    <w:rsid w:val="00460FC5"/>
    <w:rsid w:val="00491B37"/>
    <w:rsid w:val="00535CE8"/>
    <w:rsid w:val="00593D40"/>
    <w:rsid w:val="0067525E"/>
    <w:rsid w:val="007A3384"/>
    <w:rsid w:val="008662AC"/>
    <w:rsid w:val="00A26BF1"/>
    <w:rsid w:val="00AD3DB2"/>
    <w:rsid w:val="00B64C6D"/>
    <w:rsid w:val="00BA0B15"/>
    <w:rsid w:val="00C175BE"/>
    <w:rsid w:val="00F4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0C7DC-71E0-4F3D-9372-34624746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0FC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601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0189"/>
  </w:style>
  <w:style w:type="paragraph" w:styleId="Pieddepage">
    <w:name w:val="footer"/>
    <w:basedOn w:val="Normal"/>
    <w:link w:val="PieddepageCar"/>
    <w:uiPriority w:val="99"/>
    <w:unhideWhenUsed/>
    <w:rsid w:val="002601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0189"/>
  </w:style>
  <w:style w:type="table" w:styleId="Grilledutableau">
    <w:name w:val="Table Grid"/>
    <w:basedOn w:val="TableauNormal"/>
    <w:uiPriority w:val="59"/>
    <w:rsid w:val="00260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Compte Microsoft</cp:lastModifiedBy>
  <cp:revision>5</cp:revision>
  <dcterms:created xsi:type="dcterms:W3CDTF">2025-02-16T06:51:00Z</dcterms:created>
  <dcterms:modified xsi:type="dcterms:W3CDTF">2026-01-08T20:36:00Z</dcterms:modified>
</cp:coreProperties>
</file>